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7A7B" w14:textId="77777777" w:rsidR="00924F03" w:rsidRDefault="00375A36">
      <w:pPr>
        <w:pStyle w:val="BodyText"/>
        <w:spacing w:before="43"/>
        <w:ind w:left="2396" w:right="976"/>
        <w:jc w:val="center"/>
      </w:pPr>
      <w:r>
        <w:rPr>
          <w:w w:val="85"/>
          <w:shd w:val="clear" w:color="auto" w:fill="FFFF00"/>
        </w:rPr>
        <w:t>PLEASE COPY AND PASTE THIS RATE TEMPLATE IN A NEW EMAIL</w:t>
      </w:r>
    </w:p>
    <w:p w14:paraId="0F27A517" w14:textId="77777777" w:rsidR="00924F03" w:rsidRDefault="00375A36">
      <w:pPr>
        <w:pStyle w:val="BodyText"/>
        <w:spacing w:before="16"/>
        <w:ind w:left="2396" w:right="976"/>
        <w:jc w:val="center"/>
      </w:pPr>
      <w:r>
        <w:rPr>
          <w:w w:val="95"/>
          <w:shd w:val="clear" w:color="auto" w:fill="FFFF00"/>
        </w:rPr>
        <w:t>(make sure your TD deal number and client names are in the subject line)</w:t>
      </w:r>
    </w:p>
    <w:p w14:paraId="7EF5261D" w14:textId="77777777" w:rsidR="00924F03" w:rsidRDefault="00924F03">
      <w:pPr>
        <w:rPr>
          <w:sz w:val="20"/>
        </w:rPr>
      </w:pPr>
    </w:p>
    <w:p w14:paraId="1DC420AC" w14:textId="77777777" w:rsidR="00924F03" w:rsidRDefault="00924F03">
      <w:pPr>
        <w:spacing w:before="2"/>
        <w:rPr>
          <w:sz w:val="20"/>
        </w:rPr>
      </w:pPr>
    </w:p>
    <w:tbl>
      <w:tblPr>
        <w:tblW w:w="0" w:type="auto"/>
        <w:tblInd w:w="1140" w:type="dxa"/>
        <w:tbl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single" w:sz="8" w:space="0" w:color="A2A2A2"/>
          <w:insideV w:val="single" w:sz="8" w:space="0" w:color="A2A2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3917"/>
      </w:tblGrid>
      <w:tr w:rsidR="00924F03" w14:paraId="447418A6" w14:textId="77777777" w:rsidTr="00375A36">
        <w:trPr>
          <w:trHeight w:hRule="exact" w:val="449"/>
        </w:trPr>
        <w:tc>
          <w:tcPr>
            <w:tcW w:w="3884" w:type="dxa"/>
            <w:shd w:val="clear" w:color="auto" w:fill="000000"/>
          </w:tcPr>
          <w:p w14:paraId="08261CF6" w14:textId="77777777" w:rsidR="00924F03" w:rsidRDefault="00375A36">
            <w:pPr>
              <w:pStyle w:val="TableParagraph"/>
              <w:ind w:left="0" w:right="330"/>
              <w:jc w:val="right"/>
              <w:rPr>
                <w:b/>
              </w:rPr>
            </w:pPr>
            <w:r>
              <w:rPr>
                <w:b/>
                <w:color w:val="FFFFFF"/>
                <w:w w:val="181"/>
              </w:rPr>
              <w:t>↓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w w:val="81"/>
              </w:rPr>
              <w:t>T</w:t>
            </w:r>
            <w:r>
              <w:rPr>
                <w:b/>
                <w:color w:val="FFFFFF"/>
                <w:w w:val="87"/>
              </w:rPr>
              <w:t>D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w w:val="81"/>
              </w:rPr>
              <w:t>R</w:t>
            </w:r>
            <w:r>
              <w:rPr>
                <w:b/>
                <w:color w:val="FFFFFF"/>
                <w:spacing w:val="-2"/>
                <w:w w:val="81"/>
              </w:rPr>
              <w:t>A</w:t>
            </w:r>
            <w:r>
              <w:rPr>
                <w:b/>
                <w:color w:val="FFFFFF"/>
                <w:w w:val="81"/>
              </w:rPr>
              <w:t>T</w:t>
            </w:r>
            <w:r>
              <w:rPr>
                <w:b/>
                <w:color w:val="FFFFFF"/>
                <w:w w:val="73"/>
              </w:rPr>
              <w:t>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w w:val="78"/>
              </w:rPr>
              <w:t>E</w:t>
            </w:r>
            <w:r>
              <w:rPr>
                <w:b/>
                <w:color w:val="FFFFFF"/>
                <w:spacing w:val="-2"/>
                <w:w w:val="78"/>
              </w:rPr>
              <w:t>X</w:t>
            </w:r>
            <w:r>
              <w:rPr>
                <w:b/>
                <w:color w:val="FFFFFF"/>
                <w:w w:val="73"/>
              </w:rPr>
              <w:t>C</w:t>
            </w:r>
            <w:r>
              <w:rPr>
                <w:b/>
                <w:color w:val="FFFFFF"/>
                <w:w w:val="76"/>
              </w:rPr>
              <w:t>E</w:t>
            </w:r>
            <w:r>
              <w:rPr>
                <w:b/>
                <w:color w:val="FFFFFF"/>
                <w:spacing w:val="-2"/>
                <w:w w:val="76"/>
              </w:rPr>
              <w:t>P</w:t>
            </w:r>
            <w:r>
              <w:rPr>
                <w:b/>
                <w:color w:val="FFFFFF"/>
                <w:w w:val="81"/>
              </w:rPr>
              <w:t>T</w:t>
            </w:r>
            <w:r>
              <w:rPr>
                <w:b/>
                <w:color w:val="FFFFFF"/>
                <w:w w:val="96"/>
              </w:rPr>
              <w:t>I</w:t>
            </w:r>
            <w:r>
              <w:rPr>
                <w:b/>
                <w:color w:val="FFFFFF"/>
                <w:spacing w:val="-3"/>
                <w:w w:val="87"/>
              </w:rPr>
              <w:t>O</w:t>
            </w:r>
            <w:r>
              <w:rPr>
                <w:b/>
                <w:color w:val="FFFFFF"/>
                <w:w w:val="91"/>
              </w:rPr>
              <w:t>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w w:val="75"/>
              </w:rPr>
              <w:t>R</w:t>
            </w:r>
            <w:r>
              <w:rPr>
                <w:b/>
                <w:color w:val="FFFFFF"/>
                <w:spacing w:val="-2"/>
                <w:w w:val="75"/>
              </w:rPr>
              <w:t>E</w:t>
            </w:r>
            <w:r>
              <w:rPr>
                <w:b/>
                <w:color w:val="FFFFFF"/>
                <w:w w:val="81"/>
              </w:rPr>
              <w:t>QUE</w:t>
            </w:r>
            <w:r>
              <w:rPr>
                <w:b/>
                <w:color w:val="FFFFFF"/>
                <w:spacing w:val="-2"/>
                <w:w w:val="81"/>
              </w:rPr>
              <w:t>S</w:t>
            </w:r>
            <w:r>
              <w:rPr>
                <w:b/>
                <w:color w:val="FFFFFF"/>
                <w:w w:val="81"/>
              </w:rPr>
              <w:t>T</w:t>
            </w:r>
            <w:r>
              <w:rPr>
                <w:b/>
                <w:color w:val="FFFFFF"/>
                <w:w w:val="181"/>
              </w:rPr>
              <w:t>↓</w:t>
            </w:r>
          </w:p>
        </w:tc>
        <w:tc>
          <w:tcPr>
            <w:tcW w:w="3917" w:type="dxa"/>
            <w:shd w:val="clear" w:color="auto" w:fill="000000"/>
          </w:tcPr>
          <w:p w14:paraId="3931BEDE" w14:textId="77777777" w:rsidR="00924F03" w:rsidRDefault="00924F03"/>
        </w:tc>
      </w:tr>
      <w:tr w:rsidR="00924F03" w14:paraId="4EE11A01" w14:textId="77777777" w:rsidTr="00375A36">
        <w:trPr>
          <w:trHeight w:hRule="exact" w:val="449"/>
        </w:trPr>
        <w:tc>
          <w:tcPr>
            <w:tcW w:w="3884" w:type="dxa"/>
            <w:shd w:val="clear" w:color="auto" w:fill="E1EEDA"/>
          </w:tcPr>
          <w:p w14:paraId="34E27584" w14:textId="77777777" w:rsidR="00924F03" w:rsidRDefault="00375A36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TDMS Underwriter name</w:t>
            </w:r>
          </w:p>
        </w:tc>
        <w:tc>
          <w:tcPr>
            <w:tcW w:w="3917" w:type="dxa"/>
            <w:shd w:val="clear" w:color="auto" w:fill="E1EEDA"/>
          </w:tcPr>
          <w:p w14:paraId="6EC3214B" w14:textId="149E50AE" w:rsidR="00924F03" w:rsidRDefault="00924F03"/>
        </w:tc>
      </w:tr>
      <w:tr w:rsidR="00924F03" w14:paraId="2F7F63D5" w14:textId="77777777" w:rsidTr="00375A36">
        <w:trPr>
          <w:trHeight w:hRule="exact" w:val="449"/>
        </w:trPr>
        <w:tc>
          <w:tcPr>
            <w:tcW w:w="3884" w:type="dxa"/>
          </w:tcPr>
          <w:p w14:paraId="2CAF7799" w14:textId="77777777" w:rsidR="00924F03" w:rsidRDefault="00375A36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Client name(s)</w:t>
            </w:r>
          </w:p>
        </w:tc>
        <w:tc>
          <w:tcPr>
            <w:tcW w:w="3917" w:type="dxa"/>
          </w:tcPr>
          <w:p w14:paraId="628BFD40" w14:textId="52C87BB1" w:rsidR="00924F03" w:rsidRPr="00B76A8E" w:rsidRDefault="00924F03" w:rsidP="00C44E95">
            <w:pPr>
              <w:spacing w:after="360" w:line="360" w:lineRule="atLeast"/>
              <w:rPr>
                <w:sz w:val="20"/>
                <w:szCs w:val="20"/>
              </w:rPr>
            </w:pPr>
          </w:p>
        </w:tc>
      </w:tr>
      <w:tr w:rsidR="00924F03" w14:paraId="43C1B069" w14:textId="77777777" w:rsidTr="00375A36">
        <w:trPr>
          <w:trHeight w:hRule="exact" w:val="448"/>
        </w:trPr>
        <w:tc>
          <w:tcPr>
            <w:tcW w:w="3884" w:type="dxa"/>
            <w:shd w:val="clear" w:color="auto" w:fill="E1EEDA"/>
          </w:tcPr>
          <w:p w14:paraId="4525A537" w14:textId="77777777" w:rsidR="00924F03" w:rsidRDefault="00375A36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w w:val="90"/>
              </w:rPr>
              <w:t>TD RSM name</w:t>
            </w:r>
          </w:p>
        </w:tc>
        <w:tc>
          <w:tcPr>
            <w:tcW w:w="3917" w:type="dxa"/>
            <w:shd w:val="clear" w:color="auto" w:fill="E1EEDA"/>
          </w:tcPr>
          <w:p w14:paraId="504009B8" w14:textId="195959E7" w:rsidR="00924F03" w:rsidRDefault="00924F03" w:rsidP="00CC3F39">
            <w:pPr>
              <w:pStyle w:val="TableParagraph"/>
              <w:spacing w:before="81"/>
              <w:ind w:left="0"/>
            </w:pPr>
          </w:p>
        </w:tc>
      </w:tr>
      <w:tr w:rsidR="005A4159" w14:paraId="6AF21892" w14:textId="77777777" w:rsidTr="00375A36">
        <w:trPr>
          <w:trHeight w:hRule="exact" w:val="450"/>
        </w:trPr>
        <w:tc>
          <w:tcPr>
            <w:tcW w:w="3884" w:type="dxa"/>
          </w:tcPr>
          <w:p w14:paraId="78997A71" w14:textId="77777777" w:rsidR="005A4159" w:rsidRDefault="005A4159" w:rsidP="005A4159">
            <w:pPr>
              <w:pStyle w:val="TableParagraph"/>
              <w:spacing w:before="83"/>
              <w:rPr>
                <w:b/>
              </w:rPr>
            </w:pPr>
            <w:r>
              <w:rPr>
                <w:b/>
                <w:w w:val="90"/>
              </w:rPr>
              <w:t>Mortgage #</w:t>
            </w:r>
          </w:p>
        </w:tc>
        <w:tc>
          <w:tcPr>
            <w:tcW w:w="3917" w:type="dxa"/>
          </w:tcPr>
          <w:p w14:paraId="69F6C58B" w14:textId="08C5A9F0" w:rsidR="002D194C" w:rsidRDefault="002D194C" w:rsidP="002D194C">
            <w:pPr>
              <w:spacing w:line="360" w:lineRule="atLeast"/>
              <w:rPr>
                <w:rFonts w:ascii="Verdana" w:eastAsia="Times New Roman" w:hAnsi="Verdana" w:cs="Times New Roman"/>
                <w:color w:val="1C1C1C"/>
                <w:sz w:val="20"/>
                <w:szCs w:val="20"/>
              </w:rPr>
            </w:pPr>
          </w:p>
          <w:p w14:paraId="32FB3A23" w14:textId="36C63567" w:rsidR="005A4159" w:rsidRPr="00C44E95" w:rsidRDefault="005A4159" w:rsidP="005A4159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24F03" w14:paraId="41AB8F74" w14:textId="77777777" w:rsidTr="00375A36">
        <w:trPr>
          <w:trHeight w:hRule="exact" w:val="448"/>
        </w:trPr>
        <w:tc>
          <w:tcPr>
            <w:tcW w:w="3884" w:type="dxa"/>
            <w:shd w:val="clear" w:color="auto" w:fill="E1EEDA"/>
          </w:tcPr>
          <w:p w14:paraId="64A57A4B" w14:textId="77777777" w:rsidR="00924F03" w:rsidRDefault="00375A36">
            <w:pPr>
              <w:pStyle w:val="TableParagraph"/>
              <w:spacing w:before="82"/>
              <w:rPr>
                <w:b/>
              </w:rPr>
            </w:pPr>
            <w:r>
              <w:rPr>
                <w:b/>
                <w:w w:val="90"/>
              </w:rPr>
              <w:t>Mortgage Amount $</w:t>
            </w:r>
          </w:p>
        </w:tc>
        <w:tc>
          <w:tcPr>
            <w:tcW w:w="3917" w:type="dxa"/>
            <w:shd w:val="clear" w:color="auto" w:fill="E1EEDA"/>
          </w:tcPr>
          <w:p w14:paraId="3B5186C2" w14:textId="67E311E3" w:rsidR="00924F03" w:rsidRDefault="00924F03"/>
        </w:tc>
      </w:tr>
      <w:tr w:rsidR="00924F03" w14:paraId="4DA019C8" w14:textId="77777777" w:rsidTr="00375A36">
        <w:trPr>
          <w:trHeight w:hRule="exact" w:val="450"/>
        </w:trPr>
        <w:tc>
          <w:tcPr>
            <w:tcW w:w="3884" w:type="dxa"/>
          </w:tcPr>
          <w:p w14:paraId="6DAB19D9" w14:textId="77777777" w:rsidR="00924F03" w:rsidRDefault="00375A36">
            <w:pPr>
              <w:pStyle w:val="TableParagraph"/>
              <w:spacing w:before="83"/>
              <w:rPr>
                <w:b/>
              </w:rPr>
            </w:pPr>
            <w:r>
              <w:rPr>
                <w:b/>
                <w:w w:val="90"/>
              </w:rPr>
              <w:t>Closing date (mm/dd/</w:t>
            </w:r>
            <w:proofErr w:type="spellStart"/>
            <w:r>
              <w:rPr>
                <w:b/>
                <w:w w:val="90"/>
              </w:rPr>
              <w:t>yyyy</w:t>
            </w:r>
            <w:proofErr w:type="spellEnd"/>
            <w:r>
              <w:rPr>
                <w:b/>
                <w:w w:val="90"/>
              </w:rPr>
              <w:t>)</w:t>
            </w:r>
          </w:p>
        </w:tc>
        <w:tc>
          <w:tcPr>
            <w:tcW w:w="3917" w:type="dxa"/>
          </w:tcPr>
          <w:p w14:paraId="580B8953" w14:textId="673D8DF5" w:rsidR="00924F03" w:rsidRDefault="00924F03"/>
        </w:tc>
      </w:tr>
      <w:tr w:rsidR="00924F03" w14:paraId="044B13C3" w14:textId="77777777" w:rsidTr="00375A36">
        <w:trPr>
          <w:trHeight w:hRule="exact" w:val="446"/>
        </w:trPr>
        <w:tc>
          <w:tcPr>
            <w:tcW w:w="3884" w:type="dxa"/>
            <w:shd w:val="clear" w:color="auto" w:fill="E1EEDA"/>
          </w:tcPr>
          <w:p w14:paraId="1209E553" w14:textId="77777777" w:rsidR="00924F03" w:rsidRDefault="00375A36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w w:val="90"/>
              </w:rPr>
              <w:t>High Ratio (y/n)</w:t>
            </w:r>
          </w:p>
        </w:tc>
        <w:tc>
          <w:tcPr>
            <w:tcW w:w="3917" w:type="dxa"/>
            <w:shd w:val="clear" w:color="auto" w:fill="E1EEDA"/>
          </w:tcPr>
          <w:p w14:paraId="20AF6890" w14:textId="0D84EEEB" w:rsidR="00924F03" w:rsidRDefault="00924F03"/>
        </w:tc>
      </w:tr>
      <w:tr w:rsidR="00924F03" w14:paraId="3A44F54B" w14:textId="77777777" w:rsidTr="00375A36">
        <w:trPr>
          <w:trHeight w:hRule="exact" w:val="449"/>
        </w:trPr>
        <w:tc>
          <w:tcPr>
            <w:tcW w:w="3884" w:type="dxa"/>
          </w:tcPr>
          <w:p w14:paraId="4F41E333" w14:textId="77777777" w:rsidR="00924F03" w:rsidRDefault="00375A36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Amortization (</w:t>
            </w:r>
            <w:proofErr w:type="spellStart"/>
            <w:r>
              <w:rPr>
                <w:b/>
                <w:w w:val="90"/>
              </w:rPr>
              <w:t>yrs</w:t>
            </w:r>
            <w:proofErr w:type="spellEnd"/>
            <w:r>
              <w:rPr>
                <w:b/>
                <w:w w:val="90"/>
              </w:rPr>
              <w:t>)</w:t>
            </w:r>
          </w:p>
        </w:tc>
        <w:tc>
          <w:tcPr>
            <w:tcW w:w="3917" w:type="dxa"/>
          </w:tcPr>
          <w:p w14:paraId="2DB600AF" w14:textId="6E20B713" w:rsidR="00924F03" w:rsidRDefault="00924F03"/>
        </w:tc>
      </w:tr>
      <w:tr w:rsidR="00924F03" w14:paraId="3B397B29" w14:textId="77777777" w:rsidTr="00414269">
        <w:trPr>
          <w:trHeight w:hRule="exact" w:val="689"/>
        </w:trPr>
        <w:tc>
          <w:tcPr>
            <w:tcW w:w="3884" w:type="dxa"/>
            <w:shd w:val="clear" w:color="auto" w:fill="E1EEDA"/>
          </w:tcPr>
          <w:p w14:paraId="02830F2C" w14:textId="77777777" w:rsidR="00924F03" w:rsidRDefault="00375A36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Rental (y/n)</w:t>
            </w:r>
          </w:p>
        </w:tc>
        <w:tc>
          <w:tcPr>
            <w:tcW w:w="3917" w:type="dxa"/>
            <w:shd w:val="clear" w:color="auto" w:fill="E1EEDA"/>
          </w:tcPr>
          <w:p w14:paraId="78E9C50D" w14:textId="7129C91C" w:rsidR="00924F03" w:rsidRDefault="00924F03"/>
        </w:tc>
      </w:tr>
      <w:tr w:rsidR="00924F03" w14:paraId="708BB5D4" w14:textId="77777777" w:rsidTr="00375A36">
        <w:trPr>
          <w:trHeight w:hRule="exact" w:val="876"/>
        </w:trPr>
        <w:tc>
          <w:tcPr>
            <w:tcW w:w="3884" w:type="dxa"/>
          </w:tcPr>
          <w:p w14:paraId="2736B2FB" w14:textId="77777777" w:rsidR="00924F03" w:rsidRDefault="00375A36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Name of Competitor</w:t>
            </w:r>
          </w:p>
        </w:tc>
        <w:tc>
          <w:tcPr>
            <w:tcW w:w="3917" w:type="dxa"/>
          </w:tcPr>
          <w:p w14:paraId="787D0DEA" w14:textId="7D064731" w:rsidR="00924F03" w:rsidRDefault="00924F03"/>
        </w:tc>
      </w:tr>
      <w:tr w:rsidR="00924F03" w14:paraId="5E987143" w14:textId="77777777" w:rsidTr="00375A36">
        <w:trPr>
          <w:trHeight w:hRule="exact" w:val="449"/>
        </w:trPr>
        <w:tc>
          <w:tcPr>
            <w:tcW w:w="3884" w:type="dxa"/>
            <w:shd w:val="clear" w:color="auto" w:fill="E1EEDA"/>
          </w:tcPr>
          <w:p w14:paraId="3ACB6E8B" w14:textId="77777777" w:rsidR="00924F03" w:rsidRDefault="00375A36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Broker willing to buydown? (y/</w:t>
            </w:r>
            <w:proofErr w:type="gramStart"/>
            <w:r>
              <w:rPr>
                <w:b/>
                <w:w w:val="90"/>
              </w:rPr>
              <w:t>n)*</w:t>
            </w:r>
            <w:proofErr w:type="gramEnd"/>
          </w:p>
        </w:tc>
        <w:tc>
          <w:tcPr>
            <w:tcW w:w="3917" w:type="dxa"/>
            <w:shd w:val="clear" w:color="auto" w:fill="E1EEDA"/>
          </w:tcPr>
          <w:p w14:paraId="295C8CF6" w14:textId="66C47704" w:rsidR="00924F03" w:rsidRDefault="00924F03"/>
        </w:tc>
      </w:tr>
      <w:tr w:rsidR="00924F03" w14:paraId="5CCE97C8" w14:textId="77777777" w:rsidTr="00375A36">
        <w:trPr>
          <w:trHeight w:hRule="exact" w:val="449"/>
        </w:trPr>
        <w:tc>
          <w:tcPr>
            <w:tcW w:w="3884" w:type="dxa"/>
            <w:tcBorders>
              <w:bottom w:val="single" w:sz="8" w:space="0" w:color="A2A2A2"/>
            </w:tcBorders>
          </w:tcPr>
          <w:p w14:paraId="193E0483" w14:textId="77777777" w:rsidR="00924F03" w:rsidRDefault="00375A36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Variable Rate (y/n)</w:t>
            </w:r>
          </w:p>
        </w:tc>
        <w:tc>
          <w:tcPr>
            <w:tcW w:w="3917" w:type="dxa"/>
            <w:tcBorders>
              <w:bottom w:val="single" w:sz="8" w:space="0" w:color="A2A2A2"/>
            </w:tcBorders>
          </w:tcPr>
          <w:p w14:paraId="7B3FE203" w14:textId="781A0C03" w:rsidR="00924F03" w:rsidRDefault="00924F03"/>
        </w:tc>
      </w:tr>
      <w:tr w:rsidR="00924F03" w14:paraId="396BDC7E" w14:textId="77777777" w:rsidTr="00375A36">
        <w:trPr>
          <w:trHeight w:hRule="exact" w:val="448"/>
        </w:trPr>
        <w:tc>
          <w:tcPr>
            <w:tcW w:w="3884" w:type="dxa"/>
            <w:tcBorders>
              <w:top w:val="single" w:sz="8" w:space="0" w:color="A2A2A2"/>
            </w:tcBorders>
            <w:shd w:val="clear" w:color="auto" w:fill="E1EEDA"/>
          </w:tcPr>
          <w:p w14:paraId="7CA1B5E2" w14:textId="77777777" w:rsidR="00924F03" w:rsidRDefault="00375A36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w w:val="85"/>
              </w:rPr>
              <w:t>Term (years)</w:t>
            </w:r>
          </w:p>
        </w:tc>
        <w:tc>
          <w:tcPr>
            <w:tcW w:w="3917" w:type="dxa"/>
            <w:tcBorders>
              <w:top w:val="single" w:sz="8" w:space="0" w:color="A2A2A2"/>
            </w:tcBorders>
            <w:shd w:val="clear" w:color="auto" w:fill="E1EEDA"/>
          </w:tcPr>
          <w:p w14:paraId="62CBA453" w14:textId="4E81E38B" w:rsidR="00924F03" w:rsidRDefault="00924F03"/>
        </w:tc>
      </w:tr>
      <w:tr w:rsidR="00924F03" w14:paraId="591ABD94" w14:textId="77777777" w:rsidTr="00375A36">
        <w:trPr>
          <w:trHeight w:hRule="exact" w:val="450"/>
        </w:trPr>
        <w:tc>
          <w:tcPr>
            <w:tcW w:w="3884" w:type="dxa"/>
          </w:tcPr>
          <w:p w14:paraId="79F6AD87" w14:textId="77777777" w:rsidR="00924F03" w:rsidRDefault="00375A36">
            <w:pPr>
              <w:pStyle w:val="TableParagraph"/>
              <w:spacing w:before="83"/>
              <w:rPr>
                <w:b/>
              </w:rPr>
            </w:pPr>
            <w:r>
              <w:rPr>
                <w:b/>
                <w:w w:val="90"/>
              </w:rPr>
              <w:t>Broker Rate (without discount)</w:t>
            </w:r>
          </w:p>
        </w:tc>
        <w:tc>
          <w:tcPr>
            <w:tcW w:w="3917" w:type="dxa"/>
          </w:tcPr>
          <w:p w14:paraId="076C197E" w14:textId="58506825" w:rsidR="00924F03" w:rsidRDefault="00924F03"/>
        </w:tc>
      </w:tr>
      <w:tr w:rsidR="00924F03" w14:paraId="0E5D633E" w14:textId="77777777" w:rsidTr="00375A36">
        <w:trPr>
          <w:trHeight w:hRule="exact" w:val="448"/>
        </w:trPr>
        <w:tc>
          <w:tcPr>
            <w:tcW w:w="3884" w:type="dxa"/>
            <w:shd w:val="clear" w:color="auto" w:fill="E1EEDA"/>
          </w:tcPr>
          <w:p w14:paraId="71E7C98E" w14:textId="77777777" w:rsidR="00924F03" w:rsidRDefault="00375A36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w w:val="85"/>
              </w:rPr>
              <w:t>Requested Rate (bps)</w:t>
            </w:r>
          </w:p>
        </w:tc>
        <w:tc>
          <w:tcPr>
            <w:tcW w:w="3917" w:type="dxa"/>
            <w:shd w:val="clear" w:color="auto" w:fill="E1EEDA"/>
          </w:tcPr>
          <w:p w14:paraId="642C30EA" w14:textId="40CBC496" w:rsidR="00924F03" w:rsidRDefault="00924F03"/>
        </w:tc>
      </w:tr>
      <w:tr w:rsidR="00924F03" w14:paraId="0B37A08D" w14:textId="77777777" w:rsidTr="00375A36">
        <w:trPr>
          <w:trHeight w:hRule="exact" w:val="448"/>
        </w:trPr>
        <w:tc>
          <w:tcPr>
            <w:tcW w:w="3884" w:type="dxa"/>
            <w:shd w:val="clear" w:color="auto" w:fill="000000"/>
          </w:tcPr>
          <w:p w14:paraId="2FB4FA05" w14:textId="77777777" w:rsidR="00924F03" w:rsidRDefault="00375A36">
            <w:pPr>
              <w:pStyle w:val="TableParagraph"/>
              <w:spacing w:before="83"/>
              <w:ind w:left="0" w:right="307"/>
              <w:jc w:val="right"/>
              <w:rPr>
                <w:b/>
              </w:rPr>
            </w:pPr>
            <w:r>
              <w:rPr>
                <w:b/>
                <w:color w:val="FFFFFF"/>
                <w:w w:val="90"/>
              </w:rPr>
              <w:t>↑ TD RATE EXCEPTION REQUEST ↑</w:t>
            </w:r>
          </w:p>
        </w:tc>
        <w:tc>
          <w:tcPr>
            <w:tcW w:w="3917" w:type="dxa"/>
            <w:shd w:val="clear" w:color="auto" w:fill="000000"/>
          </w:tcPr>
          <w:p w14:paraId="4CE86A02" w14:textId="77777777" w:rsidR="00924F03" w:rsidRDefault="00924F03"/>
        </w:tc>
      </w:tr>
      <w:tr w:rsidR="00924F03" w14:paraId="649248E2" w14:textId="77777777" w:rsidTr="007E2207">
        <w:trPr>
          <w:trHeight w:hRule="exact" w:val="1132"/>
        </w:trPr>
        <w:tc>
          <w:tcPr>
            <w:tcW w:w="3884" w:type="dxa"/>
          </w:tcPr>
          <w:p w14:paraId="7017022F" w14:textId="77777777" w:rsidR="00924F03" w:rsidRDefault="00375A36">
            <w:pPr>
              <w:pStyle w:val="TableParagraph"/>
              <w:spacing w:before="86" w:line="254" w:lineRule="auto"/>
              <w:ind w:left="134" w:right="13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 xml:space="preserve">*Priority is to assess Requested Rate </w:t>
            </w:r>
            <w:r>
              <w:rPr>
                <w:b/>
                <w:color w:val="FF0000"/>
                <w:w w:val="90"/>
                <w:sz w:val="20"/>
              </w:rPr>
              <w:t>without a buydown. Buydown will only be charged if required to accommodate rate.</w:t>
            </w:r>
          </w:p>
        </w:tc>
        <w:tc>
          <w:tcPr>
            <w:tcW w:w="3917" w:type="dxa"/>
          </w:tcPr>
          <w:p w14:paraId="3DBBB16C" w14:textId="2E9FE06C" w:rsidR="00924F03" w:rsidRDefault="00924F03"/>
        </w:tc>
      </w:tr>
    </w:tbl>
    <w:p w14:paraId="5B02FF56" w14:textId="77777777" w:rsidR="00924F03" w:rsidRDefault="00924F03">
      <w:pPr>
        <w:rPr>
          <w:sz w:val="20"/>
        </w:rPr>
      </w:pPr>
    </w:p>
    <w:p w14:paraId="1D0A5C0A" w14:textId="77777777" w:rsidR="00924F03" w:rsidRDefault="00924F03">
      <w:pPr>
        <w:rPr>
          <w:sz w:val="20"/>
        </w:rPr>
      </w:pPr>
    </w:p>
    <w:p w14:paraId="31799E49" w14:textId="77777777" w:rsidR="00924F03" w:rsidRDefault="00924F03">
      <w:pPr>
        <w:rPr>
          <w:sz w:val="20"/>
        </w:rPr>
      </w:pPr>
    </w:p>
    <w:p w14:paraId="21BA2845" w14:textId="77777777" w:rsidR="00924F03" w:rsidRDefault="00924F03">
      <w:pPr>
        <w:rPr>
          <w:sz w:val="20"/>
        </w:rPr>
      </w:pPr>
    </w:p>
    <w:p w14:paraId="7DA7990F" w14:textId="77777777" w:rsidR="00924F03" w:rsidRDefault="00924F03">
      <w:pPr>
        <w:rPr>
          <w:sz w:val="20"/>
        </w:rPr>
      </w:pPr>
    </w:p>
    <w:p w14:paraId="21A7C4EB" w14:textId="77777777" w:rsidR="00924F03" w:rsidRDefault="00924F03">
      <w:pPr>
        <w:rPr>
          <w:sz w:val="20"/>
        </w:rPr>
      </w:pPr>
    </w:p>
    <w:p w14:paraId="3C3A3793" w14:textId="77777777" w:rsidR="00924F03" w:rsidRDefault="00924F03">
      <w:pPr>
        <w:rPr>
          <w:sz w:val="20"/>
        </w:rPr>
      </w:pPr>
    </w:p>
    <w:p w14:paraId="2072D1D4" w14:textId="77777777" w:rsidR="00924F03" w:rsidRDefault="00924F03">
      <w:pPr>
        <w:rPr>
          <w:sz w:val="20"/>
        </w:rPr>
      </w:pPr>
    </w:p>
    <w:p w14:paraId="6FE87A2B" w14:textId="77777777" w:rsidR="00924F03" w:rsidRDefault="00924F03">
      <w:pPr>
        <w:rPr>
          <w:sz w:val="20"/>
        </w:rPr>
      </w:pPr>
    </w:p>
    <w:p w14:paraId="44A3C0C0" w14:textId="77777777" w:rsidR="00924F03" w:rsidRDefault="00924F03">
      <w:pPr>
        <w:rPr>
          <w:sz w:val="20"/>
        </w:rPr>
      </w:pPr>
    </w:p>
    <w:p w14:paraId="59266CC6" w14:textId="77777777" w:rsidR="00924F03" w:rsidRDefault="00924F03">
      <w:pPr>
        <w:rPr>
          <w:sz w:val="20"/>
        </w:rPr>
      </w:pPr>
    </w:p>
    <w:p w14:paraId="3227DEC4" w14:textId="77777777" w:rsidR="00924F03" w:rsidRDefault="00924F03">
      <w:pPr>
        <w:rPr>
          <w:sz w:val="20"/>
        </w:rPr>
      </w:pPr>
    </w:p>
    <w:p w14:paraId="3E99E231" w14:textId="77777777" w:rsidR="00924F03" w:rsidRDefault="00924F03">
      <w:pPr>
        <w:rPr>
          <w:sz w:val="20"/>
        </w:rPr>
      </w:pPr>
    </w:p>
    <w:p w14:paraId="3087353D" w14:textId="77777777" w:rsidR="00924F03" w:rsidRDefault="00924F03">
      <w:pPr>
        <w:rPr>
          <w:sz w:val="20"/>
        </w:rPr>
      </w:pPr>
    </w:p>
    <w:p w14:paraId="4E122AEB" w14:textId="77777777" w:rsidR="00924F03" w:rsidRDefault="00924F03">
      <w:pPr>
        <w:rPr>
          <w:sz w:val="20"/>
        </w:rPr>
      </w:pPr>
    </w:p>
    <w:p w14:paraId="2A055755" w14:textId="77777777" w:rsidR="00924F03" w:rsidRDefault="00924F03">
      <w:pPr>
        <w:rPr>
          <w:sz w:val="20"/>
        </w:rPr>
      </w:pPr>
    </w:p>
    <w:p w14:paraId="29F4292E" w14:textId="77777777" w:rsidR="00924F03" w:rsidRDefault="00924F03">
      <w:pPr>
        <w:rPr>
          <w:sz w:val="20"/>
        </w:rPr>
      </w:pPr>
    </w:p>
    <w:p w14:paraId="16DC8043" w14:textId="77777777" w:rsidR="00924F03" w:rsidRDefault="00924F03">
      <w:pPr>
        <w:spacing w:before="7"/>
        <w:rPr>
          <w:sz w:val="27"/>
        </w:rPr>
      </w:pPr>
    </w:p>
    <w:p w14:paraId="243146CF" w14:textId="77777777" w:rsidR="00924F03" w:rsidRDefault="00375A36">
      <w:pPr>
        <w:spacing w:before="62"/>
        <w:ind w:left="105"/>
        <w:rPr>
          <w:sz w:val="20"/>
        </w:rPr>
      </w:pPr>
      <w:r>
        <w:rPr>
          <w:sz w:val="20"/>
        </w:rPr>
        <w:t>Internal</w:t>
      </w:r>
    </w:p>
    <w:sectPr w:rsidR="00924F03">
      <w:type w:val="continuous"/>
      <w:pgSz w:w="12240" w:h="15840"/>
      <w:pgMar w:top="1400" w:right="172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03"/>
    <w:rsid w:val="0015676A"/>
    <w:rsid w:val="002D194C"/>
    <w:rsid w:val="00375A36"/>
    <w:rsid w:val="003C1190"/>
    <w:rsid w:val="003F62E5"/>
    <w:rsid w:val="00414269"/>
    <w:rsid w:val="00461774"/>
    <w:rsid w:val="005410E6"/>
    <w:rsid w:val="005A4159"/>
    <w:rsid w:val="007E2207"/>
    <w:rsid w:val="0088491B"/>
    <w:rsid w:val="008F44CD"/>
    <w:rsid w:val="00924F03"/>
    <w:rsid w:val="00B76A8E"/>
    <w:rsid w:val="00C44E95"/>
    <w:rsid w:val="00CC3F39"/>
    <w:rsid w:val="00D52958"/>
    <w:rsid w:val="00D93E70"/>
    <w:rsid w:val="00DC7FA2"/>
    <w:rsid w:val="00EC4702"/>
    <w:rsid w:val="00F8023B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205DB"/>
  <w15:docId w15:val="{422C2A88-62F7-9C47-AB88-89CFBF7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72"/>
    </w:pPr>
  </w:style>
  <w:style w:type="character" w:styleId="Hyperlink">
    <w:name w:val="Hyperlink"/>
    <w:basedOn w:val="DefaultParagraphFont"/>
    <w:uiPriority w:val="99"/>
    <w:semiHidden/>
    <w:unhideWhenUsed/>
    <w:rsid w:val="008F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Glenn MacLaren</cp:lastModifiedBy>
  <cp:revision>2</cp:revision>
  <dcterms:created xsi:type="dcterms:W3CDTF">2024-04-18T15:26:00Z</dcterms:created>
  <dcterms:modified xsi:type="dcterms:W3CDTF">2024-04-18T15:26:00Z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2021-10-23T00:00:00Z</vt:filetime>
  </property>
</Properties>
</file>